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67" w:rsidRDefault="000F7667" w:rsidP="001827A9">
      <w:pPr>
        <w:spacing w:line="360" w:lineRule="auto"/>
        <w:rPr>
          <w:rFonts w:ascii="Arial" w:hAnsi="Arial" w:cs="Arial"/>
          <w:sz w:val="28"/>
          <w:szCs w:val="28"/>
        </w:rPr>
      </w:pPr>
    </w:p>
    <w:p w:rsidR="000F7667" w:rsidRPr="000F7667" w:rsidRDefault="000F7667" w:rsidP="000F7667">
      <w:pPr>
        <w:shd w:val="clear" w:color="auto" w:fill="FFFFFF"/>
        <w:rPr>
          <w:sz w:val="24"/>
          <w:szCs w:val="24"/>
        </w:rPr>
      </w:pPr>
      <w:r w:rsidRPr="000F7667">
        <w:rPr>
          <w:sz w:val="24"/>
          <w:szCs w:val="24"/>
        </w:rPr>
        <w:fldChar w:fldCharType="begin"/>
      </w:r>
      <w:r w:rsidRPr="000F7667">
        <w:rPr>
          <w:sz w:val="24"/>
          <w:szCs w:val="24"/>
        </w:rPr>
        <w:instrText xml:space="preserve"> INCLUDEPICTURE "/var/folders/1r/hp3wscgd3gdc1b7n7k794nph0000gn/T/com.microsoft.Word/WebArchiveCopyPasteTempFiles/page1image1650714288" \* MERGEFORMATINET </w:instrText>
      </w:r>
      <w:r w:rsidRPr="000F7667">
        <w:rPr>
          <w:sz w:val="24"/>
          <w:szCs w:val="24"/>
        </w:rPr>
        <w:fldChar w:fldCharType="separate"/>
      </w:r>
      <w:r w:rsidRPr="000F7667">
        <w:rPr>
          <w:noProof/>
          <w:sz w:val="24"/>
          <w:szCs w:val="24"/>
        </w:rPr>
        <w:drawing>
          <wp:inline distT="0" distB="0" distL="0" distR="0">
            <wp:extent cx="558165" cy="938530"/>
            <wp:effectExtent l="0" t="0" r="635" b="1270"/>
            <wp:docPr id="2" name="Imagem 2" descr="page1image165071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50714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66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0F7667">
        <w:rPr>
          <w:sz w:val="24"/>
          <w:szCs w:val="24"/>
        </w:rPr>
        <w:fldChar w:fldCharType="begin"/>
      </w:r>
      <w:r w:rsidRPr="000F7667">
        <w:rPr>
          <w:sz w:val="24"/>
          <w:szCs w:val="24"/>
        </w:rPr>
        <w:instrText xml:space="preserve"> INCLUDEPICTURE "/var/folders/1r/hp3wscgd3gdc1b7n7k794nph0000gn/T/com.microsoft.Word/WebArchiveCopyPasteTempFiles/page1image1650714624" \* MERGEFORMATINET </w:instrText>
      </w:r>
      <w:r w:rsidRPr="000F7667">
        <w:rPr>
          <w:sz w:val="24"/>
          <w:szCs w:val="24"/>
        </w:rPr>
        <w:fldChar w:fldCharType="separate"/>
      </w:r>
      <w:r w:rsidRPr="000F7667">
        <w:rPr>
          <w:noProof/>
          <w:sz w:val="24"/>
          <w:szCs w:val="24"/>
        </w:rPr>
        <w:drawing>
          <wp:inline distT="0" distB="0" distL="0" distR="0" wp14:anchorId="3A0B19BC" wp14:editId="56E71E48">
            <wp:extent cx="1432560" cy="542290"/>
            <wp:effectExtent l="0" t="0" r="2540" b="3810"/>
            <wp:docPr id="1" name="Imagem 1" descr="page1image165071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6507146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667">
        <w:rPr>
          <w:sz w:val="24"/>
          <w:szCs w:val="24"/>
        </w:rPr>
        <w:fldChar w:fldCharType="end"/>
      </w:r>
    </w:p>
    <w:p w:rsidR="000F7667" w:rsidRPr="001827A9" w:rsidRDefault="000F7667" w:rsidP="000F766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proofErr w:type="spellStart"/>
      <w:r w:rsidRPr="001827A9">
        <w:rPr>
          <w:rFonts w:ascii="Arial" w:hAnsi="Arial" w:cs="Arial"/>
          <w:sz w:val="26"/>
          <w:szCs w:val="26"/>
        </w:rPr>
        <w:t>Informação</w:t>
      </w:r>
      <w:proofErr w:type="spellEnd"/>
      <w:r w:rsidRPr="001827A9">
        <w:rPr>
          <w:rFonts w:ascii="Arial" w:hAnsi="Arial" w:cs="Arial"/>
          <w:sz w:val="26"/>
          <w:szCs w:val="26"/>
        </w:rPr>
        <w:t xml:space="preserve"> </w:t>
      </w:r>
    </w:p>
    <w:p w:rsidR="000F7667" w:rsidRPr="000F7667" w:rsidRDefault="000F7667" w:rsidP="000F7667">
      <w:pPr>
        <w:shd w:val="clear" w:color="auto" w:fill="FFFFFF"/>
        <w:spacing w:before="100" w:beforeAutospacing="1" w:after="100" w:afterAutospacing="1"/>
        <w:rPr>
          <w:rFonts w:ascii="Arial,Bold" w:hAnsi="Arial,Bold"/>
          <w:sz w:val="26"/>
          <w:szCs w:val="26"/>
        </w:rPr>
      </w:pPr>
      <w:r w:rsidRPr="000F7667">
        <w:rPr>
          <w:rFonts w:ascii="Arial,Bold" w:hAnsi="Arial,Bold"/>
          <w:sz w:val="26"/>
          <w:szCs w:val="26"/>
        </w:rPr>
        <w:t xml:space="preserve">CLÁSSICOS DA LITERATURA    2019 </w:t>
      </w:r>
    </w:p>
    <w:p w:rsidR="000F7667" w:rsidRPr="000F7667" w:rsidRDefault="000F7667" w:rsidP="000F7667">
      <w:pPr>
        <w:spacing w:line="360" w:lineRule="auto"/>
        <w:rPr>
          <w:rFonts w:ascii="Arial" w:hAnsi="Arial" w:cs="Arial"/>
          <w:sz w:val="26"/>
          <w:szCs w:val="26"/>
        </w:rPr>
      </w:pPr>
      <w:r w:rsidRPr="000F7667">
        <w:rPr>
          <w:rFonts w:ascii="Arial" w:hAnsi="Arial" w:cs="Arial"/>
          <w:sz w:val="26"/>
          <w:szCs w:val="26"/>
        </w:rPr>
        <w:t xml:space="preserve">Prova de Equivalência à Frequência </w:t>
      </w:r>
    </w:p>
    <w:p w:rsidR="000F7667" w:rsidRDefault="000F7667" w:rsidP="000F76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1210FE">
        <w:rPr>
          <w:rFonts w:ascii="Arial" w:hAnsi="Arial" w:cs="Arial"/>
          <w:sz w:val="24"/>
        </w:rPr>
        <w:t>Decreto-Lei 74/2004, de 26 de março)</w:t>
      </w:r>
    </w:p>
    <w:p w:rsidR="000F7667" w:rsidRPr="001827A9" w:rsidRDefault="000F7667" w:rsidP="000F766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1827A9">
        <w:rPr>
          <w:rFonts w:ascii="Arial" w:hAnsi="Arial" w:cs="Arial"/>
          <w:sz w:val="26"/>
          <w:szCs w:val="26"/>
        </w:rPr>
        <w:t xml:space="preserve">12.º Ano de Escolaridade </w:t>
      </w:r>
    </w:p>
    <w:p w:rsidR="000F7667" w:rsidRDefault="000F7667" w:rsidP="001827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/>
          <w:sz w:val="24"/>
          <w:szCs w:val="24"/>
        </w:rPr>
      </w:pPr>
      <w:r w:rsidRPr="001210FE">
        <w:rPr>
          <w:rFonts w:ascii="Arial" w:hAnsi="Arial"/>
          <w:sz w:val="24"/>
          <w:szCs w:val="24"/>
        </w:rPr>
        <w:t xml:space="preserve">O presente documento visa divulgar </w:t>
      </w:r>
      <w:r>
        <w:rPr>
          <w:rFonts w:ascii="Arial" w:hAnsi="Arial"/>
          <w:sz w:val="24"/>
          <w:szCs w:val="24"/>
        </w:rPr>
        <w:t>informação relativa</w:t>
      </w:r>
      <w:r w:rsidRPr="001210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à prova de</w:t>
      </w:r>
      <w:r w:rsidRPr="001210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equivalência à frequência</w:t>
      </w:r>
      <w:r w:rsidRPr="001210FE">
        <w:rPr>
          <w:rFonts w:ascii="Arial" w:hAnsi="Arial"/>
          <w:sz w:val="24"/>
          <w:szCs w:val="24"/>
        </w:rPr>
        <w:t xml:space="preserve"> da disciplina de Clássicos da Literatura</w:t>
      </w:r>
      <w:r>
        <w:rPr>
          <w:rFonts w:ascii="Arial" w:hAnsi="Arial"/>
          <w:sz w:val="24"/>
          <w:szCs w:val="24"/>
        </w:rPr>
        <w:t xml:space="preserve">, do 12.º ano </w:t>
      </w:r>
      <w:r w:rsidRPr="001210FE">
        <w:rPr>
          <w:rFonts w:ascii="Arial" w:hAnsi="Arial"/>
          <w:sz w:val="24"/>
          <w:szCs w:val="24"/>
        </w:rPr>
        <w:t>do Ensino Secundário</w:t>
      </w:r>
      <w:r>
        <w:rPr>
          <w:rFonts w:ascii="Arial" w:hAnsi="Arial"/>
          <w:sz w:val="24"/>
          <w:szCs w:val="24"/>
        </w:rPr>
        <w:t>, nomeadamente:</w:t>
      </w:r>
    </w:p>
    <w:p w:rsidR="000F7667" w:rsidRDefault="000F7667" w:rsidP="000A69DB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Objeto de avaliação;</w:t>
      </w:r>
    </w:p>
    <w:p w:rsidR="000F7667" w:rsidRDefault="000F7667" w:rsidP="000A69DB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Caracterização da prova;</w:t>
      </w:r>
    </w:p>
    <w:p w:rsidR="000F7667" w:rsidRDefault="000F7667" w:rsidP="000A69DB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Critérios gerais de classificação;</w:t>
      </w:r>
    </w:p>
    <w:p w:rsidR="000F7667" w:rsidRDefault="000F7667" w:rsidP="000A69DB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Material;</w:t>
      </w:r>
    </w:p>
    <w:p w:rsidR="00E57FCB" w:rsidRPr="000F7667" w:rsidRDefault="000F7667" w:rsidP="000A69DB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Duração.</w:t>
      </w:r>
    </w:p>
    <w:p w:rsidR="00E57FCB" w:rsidRDefault="00E57FCB" w:rsidP="00E57FCB">
      <w:pPr>
        <w:jc w:val="center"/>
        <w:rPr>
          <w:rFonts w:ascii="Times New Roman Bold" w:hAnsi="Times New Roman Bold"/>
          <w:sz w:val="24"/>
        </w:rPr>
      </w:pPr>
    </w:p>
    <w:p w:rsidR="00E57FCB" w:rsidRPr="0063559E" w:rsidRDefault="00E57FCB" w:rsidP="00E57FCB">
      <w:pPr>
        <w:jc w:val="both"/>
        <w:rPr>
          <w:rFonts w:ascii="Arial Bold" w:hAnsi="Arial Bold"/>
          <w:b/>
          <w:sz w:val="24"/>
          <w:szCs w:val="24"/>
        </w:rPr>
      </w:pPr>
      <w:r w:rsidRPr="0063559E">
        <w:rPr>
          <w:rFonts w:ascii="Arial Bold" w:hAnsi="Arial Bold"/>
          <w:b/>
          <w:sz w:val="24"/>
          <w:szCs w:val="24"/>
        </w:rPr>
        <w:t>1. Objeto</w:t>
      </w:r>
      <w:r w:rsidR="001210FE" w:rsidRPr="0063559E">
        <w:rPr>
          <w:rFonts w:ascii="Arial Bold" w:hAnsi="Arial Bold"/>
          <w:b/>
          <w:sz w:val="24"/>
          <w:szCs w:val="24"/>
        </w:rPr>
        <w:t xml:space="preserve"> de avaliação</w:t>
      </w:r>
    </w:p>
    <w:p w:rsidR="00E57FCB" w:rsidRPr="0063559E" w:rsidRDefault="00E57FCB" w:rsidP="00E57FCB">
      <w:pPr>
        <w:jc w:val="both"/>
        <w:rPr>
          <w:rFonts w:ascii="Arial" w:hAnsi="Arial"/>
          <w:b/>
        </w:rPr>
      </w:pPr>
    </w:p>
    <w:p w:rsidR="00675B64" w:rsidRPr="001210FE" w:rsidRDefault="003D45A4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1210FE">
        <w:rPr>
          <w:rFonts w:ascii="Arial" w:hAnsi="Arial"/>
          <w:sz w:val="24"/>
          <w:szCs w:val="24"/>
        </w:rPr>
        <w:t xml:space="preserve"> prova </w:t>
      </w:r>
      <w:r>
        <w:rPr>
          <w:rFonts w:ascii="Arial" w:hAnsi="Arial"/>
          <w:sz w:val="24"/>
          <w:szCs w:val="24"/>
        </w:rPr>
        <w:t>tem por referência o</w:t>
      </w:r>
      <w:r w:rsidR="001210FE">
        <w:rPr>
          <w:rFonts w:ascii="Arial" w:hAnsi="Arial"/>
          <w:sz w:val="24"/>
          <w:szCs w:val="24"/>
        </w:rPr>
        <w:t xml:space="preserve"> </w:t>
      </w:r>
      <w:r w:rsidR="001210FE" w:rsidRPr="001210FE">
        <w:rPr>
          <w:rFonts w:ascii="Arial" w:hAnsi="Arial"/>
          <w:i/>
          <w:iCs/>
          <w:sz w:val="24"/>
          <w:szCs w:val="24"/>
        </w:rPr>
        <w:t>Programa de Clássicos da Literatura</w:t>
      </w:r>
      <w:r w:rsidR="001210FE">
        <w:rPr>
          <w:rFonts w:ascii="Arial" w:hAnsi="Arial"/>
          <w:sz w:val="24"/>
          <w:szCs w:val="24"/>
        </w:rPr>
        <w:t xml:space="preserve"> homologado em </w:t>
      </w:r>
      <w:r w:rsidR="001210FE" w:rsidRPr="00851E3D">
        <w:rPr>
          <w:rFonts w:ascii="Arial" w:hAnsi="Arial"/>
          <w:sz w:val="24"/>
          <w:szCs w:val="24"/>
        </w:rPr>
        <w:t>200</w:t>
      </w:r>
      <w:r w:rsidR="00851E3D" w:rsidRPr="00851E3D">
        <w:rPr>
          <w:rFonts w:ascii="Arial" w:hAnsi="Arial"/>
          <w:sz w:val="24"/>
          <w:szCs w:val="24"/>
        </w:rPr>
        <w:t>4</w:t>
      </w:r>
      <w:r w:rsidR="00CE2797">
        <w:rPr>
          <w:rFonts w:ascii="Arial" w:hAnsi="Arial"/>
          <w:sz w:val="24"/>
          <w:szCs w:val="24"/>
        </w:rPr>
        <w:t xml:space="preserve"> e </w:t>
      </w:r>
      <w:r w:rsidR="00E57FCB" w:rsidRPr="001210FE">
        <w:rPr>
          <w:rFonts w:ascii="Arial" w:hAnsi="Arial"/>
          <w:sz w:val="24"/>
          <w:szCs w:val="24"/>
        </w:rPr>
        <w:t xml:space="preserve">incide sobre </w:t>
      </w:r>
      <w:r w:rsidR="001210FE">
        <w:rPr>
          <w:rFonts w:ascii="Arial" w:hAnsi="Arial"/>
          <w:sz w:val="24"/>
          <w:szCs w:val="24"/>
        </w:rPr>
        <w:t xml:space="preserve">autores e obras </w:t>
      </w:r>
      <w:r w:rsidR="0063559E">
        <w:rPr>
          <w:rFonts w:ascii="Arial" w:hAnsi="Arial"/>
          <w:sz w:val="24"/>
          <w:szCs w:val="24"/>
        </w:rPr>
        <w:t>indicados n</w:t>
      </w:r>
      <w:r w:rsidR="00851E3D">
        <w:rPr>
          <w:rFonts w:ascii="Arial" w:hAnsi="Arial"/>
          <w:sz w:val="24"/>
          <w:szCs w:val="24"/>
        </w:rPr>
        <w:t>a</w:t>
      </w:r>
      <w:r w:rsidR="0063559E">
        <w:rPr>
          <w:rFonts w:ascii="Arial" w:hAnsi="Arial"/>
          <w:sz w:val="24"/>
          <w:szCs w:val="24"/>
        </w:rPr>
        <w:t xml:space="preserve">s </w:t>
      </w:r>
      <w:r w:rsidR="00851E3D">
        <w:rPr>
          <w:rFonts w:ascii="Arial" w:hAnsi="Arial"/>
          <w:sz w:val="24"/>
          <w:szCs w:val="24"/>
        </w:rPr>
        <w:t>unidades apresentadas</w:t>
      </w:r>
      <w:r w:rsidR="0063559E">
        <w:rPr>
          <w:rFonts w:ascii="Arial" w:hAnsi="Arial"/>
          <w:sz w:val="24"/>
          <w:szCs w:val="24"/>
        </w:rPr>
        <w:t xml:space="preserve"> </w:t>
      </w:r>
      <w:r w:rsidR="00E047F8">
        <w:rPr>
          <w:rFonts w:ascii="Arial" w:hAnsi="Arial"/>
          <w:sz w:val="24"/>
          <w:szCs w:val="24"/>
        </w:rPr>
        <w:t>n</w:t>
      </w:r>
      <w:r w:rsidR="0063559E">
        <w:rPr>
          <w:rFonts w:ascii="Arial" w:hAnsi="Arial"/>
          <w:sz w:val="24"/>
          <w:szCs w:val="24"/>
        </w:rPr>
        <w:t>o programa em vigor</w:t>
      </w:r>
      <w:r w:rsidR="00E57FCB" w:rsidRPr="001210FE">
        <w:rPr>
          <w:rFonts w:ascii="Arial" w:hAnsi="Arial"/>
          <w:sz w:val="24"/>
          <w:szCs w:val="24"/>
        </w:rPr>
        <w:t>:</w:t>
      </w:r>
    </w:p>
    <w:p w:rsidR="00E57FCB" w:rsidRPr="001210FE" w:rsidRDefault="00851E3D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</w:t>
      </w:r>
      <w:r w:rsidR="00E57FCB" w:rsidRPr="001210FE">
        <w:rPr>
          <w:rFonts w:ascii="Arial" w:hAnsi="Arial"/>
          <w:sz w:val="24"/>
          <w:szCs w:val="24"/>
        </w:rPr>
        <w:t xml:space="preserve"> 1 – </w:t>
      </w:r>
      <w:r>
        <w:rPr>
          <w:rFonts w:ascii="Arial" w:hAnsi="Arial"/>
          <w:sz w:val="24"/>
          <w:szCs w:val="24"/>
        </w:rPr>
        <w:t>Os primeiros clássicos da literatura europeia em vernáculo</w:t>
      </w:r>
    </w:p>
    <w:p w:rsidR="00E57FCB" w:rsidRPr="001210FE" w:rsidRDefault="00851E3D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2</w:t>
      </w:r>
      <w:r w:rsidR="00E57FCB" w:rsidRPr="001210FE"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Teatro dos séculos XVI e XVII / A narrativa picaresca</w:t>
      </w:r>
    </w:p>
    <w:p w:rsidR="00E57FCB" w:rsidRPr="001210FE" w:rsidRDefault="00851E3D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Unidade </w:t>
      </w:r>
      <w:r w:rsidR="00E57FCB" w:rsidRPr="001210FE">
        <w:rPr>
          <w:rFonts w:ascii="Arial" w:hAnsi="Arial"/>
          <w:sz w:val="24"/>
          <w:szCs w:val="24"/>
        </w:rPr>
        <w:t xml:space="preserve">3 – </w:t>
      </w:r>
      <w:r>
        <w:rPr>
          <w:rFonts w:ascii="Arial" w:hAnsi="Arial"/>
          <w:sz w:val="24"/>
          <w:szCs w:val="24"/>
        </w:rPr>
        <w:t>Viagem/Utopia</w:t>
      </w:r>
    </w:p>
    <w:p w:rsidR="00E57FCB" w:rsidRPr="001210FE" w:rsidRDefault="00851E3D" w:rsidP="00740526">
      <w:p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4</w:t>
      </w:r>
      <w:r w:rsidR="00E57FCB" w:rsidRPr="001210FE"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Vivência romântica</w:t>
      </w:r>
    </w:p>
    <w:p w:rsidR="00851E3D" w:rsidRPr="001210FE" w:rsidRDefault="00851E3D" w:rsidP="00740526">
      <w:p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5</w:t>
      </w:r>
      <w:r w:rsidRPr="001210FE">
        <w:rPr>
          <w:rFonts w:ascii="Arial" w:hAnsi="Arial"/>
          <w:sz w:val="24"/>
          <w:szCs w:val="24"/>
        </w:rPr>
        <w:t xml:space="preserve"> – </w:t>
      </w:r>
      <w:r w:rsidR="001A10B5">
        <w:rPr>
          <w:rFonts w:ascii="Arial" w:hAnsi="Arial"/>
          <w:sz w:val="24"/>
          <w:szCs w:val="24"/>
        </w:rPr>
        <w:t>O romance – a epopeia dos tempos modernos</w:t>
      </w:r>
    </w:p>
    <w:p w:rsidR="00851E3D" w:rsidRPr="001210FE" w:rsidRDefault="00851E3D" w:rsidP="00740526">
      <w:p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6</w:t>
      </w:r>
      <w:r w:rsidRPr="001210FE">
        <w:rPr>
          <w:rFonts w:ascii="Arial" w:hAnsi="Arial"/>
          <w:sz w:val="24"/>
          <w:szCs w:val="24"/>
        </w:rPr>
        <w:t xml:space="preserve"> – </w:t>
      </w:r>
      <w:r w:rsidR="001A10B5">
        <w:rPr>
          <w:rFonts w:ascii="Arial" w:hAnsi="Arial"/>
          <w:sz w:val="24"/>
          <w:szCs w:val="24"/>
        </w:rPr>
        <w:t>A condição feminina</w:t>
      </w:r>
    </w:p>
    <w:p w:rsidR="00851E3D" w:rsidRPr="001210FE" w:rsidRDefault="00851E3D" w:rsidP="00740526">
      <w:p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7</w:t>
      </w:r>
      <w:r w:rsidRPr="001210FE">
        <w:rPr>
          <w:rFonts w:ascii="Arial" w:hAnsi="Arial"/>
          <w:sz w:val="24"/>
          <w:szCs w:val="24"/>
        </w:rPr>
        <w:t xml:space="preserve"> – </w:t>
      </w:r>
      <w:r w:rsidR="001A10B5">
        <w:rPr>
          <w:rFonts w:ascii="Arial" w:hAnsi="Arial"/>
          <w:sz w:val="24"/>
          <w:szCs w:val="24"/>
        </w:rPr>
        <w:t>Modernismos e vanguardas</w:t>
      </w:r>
    </w:p>
    <w:p w:rsidR="00851E3D" w:rsidRPr="001210FE" w:rsidRDefault="00851E3D" w:rsidP="00740526">
      <w:p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Unidade 8</w:t>
      </w:r>
      <w:r w:rsidRPr="001210FE">
        <w:rPr>
          <w:rFonts w:ascii="Arial" w:hAnsi="Arial"/>
          <w:sz w:val="24"/>
          <w:szCs w:val="24"/>
        </w:rPr>
        <w:t xml:space="preserve"> – </w:t>
      </w:r>
      <w:r w:rsidR="001A10B5">
        <w:rPr>
          <w:rFonts w:ascii="Arial" w:hAnsi="Arial"/>
          <w:sz w:val="24"/>
          <w:szCs w:val="24"/>
        </w:rPr>
        <w:t>Narrativas da modernidade</w:t>
      </w:r>
    </w:p>
    <w:p w:rsidR="00DE7316" w:rsidRPr="001827A9" w:rsidRDefault="00851E3D" w:rsidP="001827A9">
      <w:p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Unidade 9</w:t>
      </w:r>
      <w:r w:rsidRPr="001210FE">
        <w:rPr>
          <w:rFonts w:ascii="Arial" w:hAnsi="Arial"/>
          <w:sz w:val="24"/>
          <w:szCs w:val="24"/>
        </w:rPr>
        <w:t xml:space="preserve"> – </w:t>
      </w:r>
      <w:r w:rsidR="001A10B5">
        <w:rPr>
          <w:rFonts w:ascii="Arial" w:hAnsi="Arial"/>
          <w:sz w:val="24"/>
          <w:szCs w:val="24"/>
        </w:rPr>
        <w:t>Linhas de força da narrativa contemporânea</w:t>
      </w:r>
    </w:p>
    <w:p w:rsidR="00E57FCB" w:rsidRDefault="00E57FCB" w:rsidP="00E57FCB">
      <w:pPr>
        <w:ind w:left="360"/>
        <w:jc w:val="both"/>
        <w:rPr>
          <w:rFonts w:ascii="Arial" w:hAnsi="Arial"/>
          <w:b/>
          <w:sz w:val="22"/>
        </w:rPr>
      </w:pPr>
    </w:p>
    <w:p w:rsidR="00675B64" w:rsidRPr="00030C41" w:rsidRDefault="00675B64" w:rsidP="00E57FCB">
      <w:pPr>
        <w:ind w:left="360"/>
        <w:jc w:val="both"/>
        <w:rPr>
          <w:rFonts w:ascii="Arial" w:hAnsi="Arial"/>
          <w:b/>
          <w:sz w:val="22"/>
        </w:rPr>
      </w:pPr>
    </w:p>
    <w:p w:rsidR="00C961A4" w:rsidRDefault="00E57FCB" w:rsidP="00A943F8">
      <w:pPr>
        <w:jc w:val="both"/>
        <w:rPr>
          <w:rFonts w:ascii="Arial Bold" w:hAnsi="Arial Bold"/>
          <w:b/>
          <w:sz w:val="24"/>
          <w:szCs w:val="24"/>
        </w:rPr>
      </w:pPr>
      <w:r w:rsidRPr="0063559E">
        <w:rPr>
          <w:rFonts w:ascii="Arial Bold" w:hAnsi="Arial Bold"/>
          <w:b/>
          <w:sz w:val="24"/>
          <w:szCs w:val="24"/>
        </w:rPr>
        <w:t xml:space="preserve">2. </w:t>
      </w:r>
      <w:r w:rsidR="00740526">
        <w:rPr>
          <w:rFonts w:ascii="Arial Bold" w:hAnsi="Arial Bold"/>
          <w:b/>
          <w:sz w:val="24"/>
          <w:szCs w:val="24"/>
        </w:rPr>
        <w:t>Caracterização da prova</w:t>
      </w:r>
    </w:p>
    <w:p w:rsidR="00A943F8" w:rsidRPr="00A943F8" w:rsidRDefault="00A943F8" w:rsidP="00A943F8">
      <w:pPr>
        <w:jc w:val="both"/>
        <w:rPr>
          <w:rFonts w:ascii="Arial Bold" w:hAnsi="Arial Bold"/>
          <w:b/>
          <w:sz w:val="24"/>
          <w:szCs w:val="24"/>
        </w:rPr>
      </w:pPr>
    </w:p>
    <w:p w:rsidR="00837F81" w:rsidRDefault="00C961A4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respostas aos itens requerem a mobilização articulada de aprendizagens relativas aos domínios da Leitura </w:t>
      </w:r>
      <w:r w:rsidR="009670B1">
        <w:rPr>
          <w:rFonts w:ascii="Arial" w:hAnsi="Arial"/>
          <w:sz w:val="24"/>
          <w:szCs w:val="24"/>
        </w:rPr>
        <w:t xml:space="preserve">Literária </w:t>
      </w:r>
      <w:r>
        <w:rPr>
          <w:rFonts w:ascii="Arial" w:hAnsi="Arial"/>
          <w:sz w:val="24"/>
          <w:szCs w:val="24"/>
        </w:rPr>
        <w:t xml:space="preserve">e da Escrita. </w:t>
      </w:r>
    </w:p>
    <w:p w:rsidR="005C5165" w:rsidRDefault="009670B1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 desempenhos no domínio da Leitura</w:t>
      </w:r>
      <w:r w:rsidR="00C961A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Literária são avaliados através de </w:t>
      </w:r>
      <w:r w:rsidR="00C961A4">
        <w:rPr>
          <w:rFonts w:ascii="Arial" w:hAnsi="Arial"/>
          <w:sz w:val="24"/>
          <w:szCs w:val="24"/>
        </w:rPr>
        <w:t>itens de</w:t>
      </w:r>
      <w:r w:rsidR="007D4E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construção (</w:t>
      </w:r>
      <w:r w:rsidR="007D4ECD">
        <w:rPr>
          <w:rFonts w:ascii="Arial" w:hAnsi="Arial"/>
          <w:sz w:val="24"/>
          <w:szCs w:val="24"/>
        </w:rPr>
        <w:t>resposta restrita e resposta extensa</w:t>
      </w:r>
      <w:r>
        <w:rPr>
          <w:rFonts w:ascii="Arial" w:hAnsi="Arial"/>
          <w:sz w:val="24"/>
          <w:szCs w:val="24"/>
        </w:rPr>
        <w:t>)</w:t>
      </w:r>
      <w:r w:rsidR="007D4ECD">
        <w:rPr>
          <w:rFonts w:ascii="Arial" w:hAnsi="Arial"/>
          <w:sz w:val="24"/>
          <w:szCs w:val="24"/>
        </w:rPr>
        <w:t xml:space="preserve">. </w:t>
      </w:r>
    </w:p>
    <w:p w:rsidR="00675B64" w:rsidRDefault="00675B64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670B1" w:rsidRDefault="009670B1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 desempenhos no domínio da Escrita</w:t>
      </w:r>
      <w:r w:rsidR="00DE7316">
        <w:rPr>
          <w:rFonts w:ascii="Arial" w:hAnsi="Arial"/>
          <w:sz w:val="24"/>
          <w:szCs w:val="24"/>
        </w:rPr>
        <w:t xml:space="preserve"> são avaliados através de itens de resposta restrita e de um item de resposta extensa, o qual apresenta orientações no que respeita ao tema e à extensão</w:t>
      </w:r>
      <w:r w:rsidR="00962040">
        <w:rPr>
          <w:rFonts w:ascii="Arial" w:hAnsi="Arial"/>
          <w:sz w:val="24"/>
          <w:szCs w:val="24"/>
        </w:rPr>
        <w:t xml:space="preserve"> (duzentas </w:t>
      </w:r>
      <w:r w:rsidR="00721E66">
        <w:rPr>
          <w:rFonts w:ascii="Arial" w:hAnsi="Arial"/>
          <w:sz w:val="24"/>
          <w:szCs w:val="24"/>
        </w:rPr>
        <w:t xml:space="preserve">e cinquenta </w:t>
      </w:r>
      <w:r w:rsidR="00962040">
        <w:rPr>
          <w:rFonts w:ascii="Arial" w:hAnsi="Arial"/>
          <w:sz w:val="24"/>
          <w:szCs w:val="24"/>
        </w:rPr>
        <w:t xml:space="preserve">a trezentas </w:t>
      </w:r>
      <w:r w:rsidR="00721E66">
        <w:rPr>
          <w:rFonts w:ascii="Arial" w:hAnsi="Arial"/>
          <w:sz w:val="24"/>
          <w:szCs w:val="24"/>
        </w:rPr>
        <w:t xml:space="preserve">e cinquenta </w:t>
      </w:r>
      <w:r w:rsidR="00962040">
        <w:rPr>
          <w:rFonts w:ascii="Arial" w:hAnsi="Arial"/>
          <w:sz w:val="24"/>
          <w:szCs w:val="24"/>
        </w:rPr>
        <w:t xml:space="preserve">palavras). </w:t>
      </w:r>
    </w:p>
    <w:p w:rsidR="00962040" w:rsidRDefault="00962040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57FCB" w:rsidRDefault="007D4ECD" w:rsidP="007405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 itens </w:t>
      </w:r>
      <w:r w:rsidR="003D45A4">
        <w:rPr>
          <w:rFonts w:ascii="Arial" w:hAnsi="Arial"/>
          <w:sz w:val="24"/>
          <w:szCs w:val="24"/>
        </w:rPr>
        <w:t>recobrem, no todo ou em parte, as competências a seguir indicadas:</w:t>
      </w:r>
    </w:p>
    <w:p w:rsidR="003D45A4" w:rsidRDefault="003D45A4" w:rsidP="0074052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interpretação e análise de textos </w:t>
      </w:r>
      <w:r w:rsidR="00A943F8">
        <w:rPr>
          <w:rFonts w:ascii="Arial" w:hAnsi="Arial"/>
          <w:sz w:val="24"/>
          <w:szCs w:val="24"/>
        </w:rPr>
        <w:t xml:space="preserve">literários </w:t>
      </w:r>
      <w:r>
        <w:rPr>
          <w:rFonts w:ascii="Arial" w:hAnsi="Arial"/>
          <w:sz w:val="24"/>
          <w:szCs w:val="24"/>
        </w:rPr>
        <w:t xml:space="preserve">de diferentes </w:t>
      </w:r>
      <w:r w:rsidR="00A943F8">
        <w:rPr>
          <w:rFonts w:ascii="Arial" w:hAnsi="Arial"/>
          <w:sz w:val="24"/>
          <w:szCs w:val="24"/>
        </w:rPr>
        <w:t>modos, épocas e convenções</w:t>
      </w:r>
      <w:r>
        <w:rPr>
          <w:rFonts w:ascii="Arial" w:hAnsi="Arial"/>
          <w:sz w:val="24"/>
          <w:szCs w:val="24"/>
        </w:rPr>
        <w:t>;</w:t>
      </w:r>
    </w:p>
    <w:p w:rsidR="003D45A4" w:rsidRDefault="003D45A4" w:rsidP="0074052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fundamentação de uma argumentação interpretativa;</w:t>
      </w:r>
    </w:p>
    <w:p w:rsidR="003D45A4" w:rsidRDefault="007D4ECD" w:rsidP="0074052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relacionação d</w:t>
      </w:r>
      <w:r w:rsidR="00A943F8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="00A943F8">
        <w:rPr>
          <w:rFonts w:ascii="Arial" w:hAnsi="Arial"/>
          <w:sz w:val="24"/>
          <w:szCs w:val="24"/>
        </w:rPr>
        <w:t xml:space="preserve">obras </w:t>
      </w:r>
      <w:r>
        <w:rPr>
          <w:rFonts w:ascii="Arial" w:hAnsi="Arial"/>
          <w:sz w:val="24"/>
          <w:szCs w:val="24"/>
        </w:rPr>
        <w:t xml:space="preserve">com </w:t>
      </w:r>
      <w:r w:rsidR="00A943F8">
        <w:rPr>
          <w:rFonts w:ascii="Arial" w:hAnsi="Arial"/>
          <w:sz w:val="24"/>
          <w:szCs w:val="24"/>
        </w:rPr>
        <w:t>as suas circunstâncias histórico-culturais</w:t>
      </w:r>
      <w:r>
        <w:rPr>
          <w:rFonts w:ascii="Arial" w:hAnsi="Arial"/>
          <w:sz w:val="24"/>
          <w:szCs w:val="24"/>
        </w:rPr>
        <w:t>;</w:t>
      </w:r>
    </w:p>
    <w:p w:rsidR="001827A9" w:rsidRDefault="001827A9" w:rsidP="0074052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relacionação de obras literárias com outras manifestações estéticas;</w:t>
      </w:r>
    </w:p>
    <w:p w:rsidR="007D4ECD" w:rsidRPr="003D45A4" w:rsidRDefault="007D4ECD" w:rsidP="00721E6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produção de textos de diferentes formatos, integrando competência textual e expressão pessoal.</w:t>
      </w:r>
    </w:p>
    <w:p w:rsidR="00E57FCB" w:rsidRPr="0063559E" w:rsidRDefault="00E57FCB" w:rsidP="00E57FCB">
      <w:pPr>
        <w:jc w:val="both"/>
        <w:rPr>
          <w:rFonts w:ascii="Arial" w:hAnsi="Arial"/>
          <w:sz w:val="24"/>
          <w:szCs w:val="24"/>
        </w:rPr>
      </w:pPr>
    </w:p>
    <w:p w:rsidR="00837F81" w:rsidRDefault="000A1CC6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217A7">
        <w:rPr>
          <w:rFonts w:ascii="Arial" w:hAnsi="Arial"/>
          <w:sz w:val="24"/>
          <w:szCs w:val="24"/>
        </w:rPr>
        <w:t xml:space="preserve">A prova é </w:t>
      </w:r>
      <w:r>
        <w:rPr>
          <w:rFonts w:ascii="Arial" w:hAnsi="Arial"/>
          <w:sz w:val="24"/>
          <w:szCs w:val="24"/>
        </w:rPr>
        <w:t>cotada para</w:t>
      </w:r>
      <w:r w:rsidRPr="00D217A7">
        <w:rPr>
          <w:rFonts w:ascii="Arial" w:hAnsi="Arial"/>
          <w:sz w:val="24"/>
          <w:szCs w:val="24"/>
        </w:rPr>
        <w:t xml:space="preserve"> 200 pontos.</w:t>
      </w:r>
      <w:r>
        <w:rPr>
          <w:rFonts w:ascii="Arial" w:hAnsi="Arial"/>
          <w:sz w:val="24"/>
          <w:szCs w:val="24"/>
        </w:rPr>
        <w:t xml:space="preserve"> </w:t>
      </w:r>
    </w:p>
    <w:p w:rsidR="00675B64" w:rsidRDefault="00675B64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75B64" w:rsidRDefault="00962040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ponderação do domínio da Leitura Literária corresponde a 60% da cotação total da prova. A ponderação do domínio da Escrita corresponde a 40% da cotação total da prova.</w:t>
      </w:r>
    </w:p>
    <w:p w:rsidR="00675B64" w:rsidRDefault="00675B64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75B64" w:rsidRDefault="00675B64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75B64" w:rsidRDefault="00675B64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75B64" w:rsidRDefault="00675B64" w:rsidP="000A1CC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57FCB" w:rsidRDefault="00E57FCB" w:rsidP="00E57FCB">
      <w:pPr>
        <w:jc w:val="both"/>
        <w:rPr>
          <w:rFonts w:ascii="Arial" w:hAnsi="Arial"/>
          <w:sz w:val="16"/>
        </w:rPr>
      </w:pPr>
    </w:p>
    <w:p w:rsidR="00E57FCB" w:rsidRDefault="00E57FCB" w:rsidP="00E57FCB">
      <w:pPr>
        <w:ind w:left="360"/>
        <w:jc w:val="both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4"/>
        <w:gridCol w:w="2707"/>
        <w:gridCol w:w="2043"/>
        <w:gridCol w:w="1628"/>
      </w:tblGrid>
      <w:tr w:rsidR="00E57FCB" w:rsidTr="00240A9D">
        <w:trPr>
          <w:cantSplit/>
          <w:trHeight w:val="726"/>
          <w:jc w:val="center"/>
        </w:trPr>
        <w:tc>
          <w:tcPr>
            <w:tcW w:w="1414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536FBD" w:rsidRDefault="00E57FCB" w:rsidP="00240A9D">
            <w:pPr>
              <w:jc w:val="center"/>
              <w:rPr>
                <w:rFonts w:ascii="Arial Bold" w:hAnsi="Arial Bold"/>
                <w:b/>
              </w:rPr>
            </w:pPr>
            <w:r w:rsidRPr="00536FBD">
              <w:rPr>
                <w:rFonts w:ascii="Arial Bold" w:hAnsi="Arial Bold"/>
                <w:b/>
              </w:rPr>
              <w:lastRenderedPageBreak/>
              <w:t>Estrutura</w:t>
            </w:r>
          </w:p>
        </w:tc>
        <w:tc>
          <w:tcPr>
            <w:tcW w:w="270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536FBD" w:rsidRDefault="00E57FCB" w:rsidP="00240A9D">
            <w:pPr>
              <w:jc w:val="center"/>
              <w:rPr>
                <w:rFonts w:ascii="Arial Bold" w:hAnsi="Arial Bold"/>
                <w:b/>
              </w:rPr>
            </w:pPr>
            <w:r w:rsidRPr="00536FBD">
              <w:rPr>
                <w:rFonts w:ascii="Arial Bold" w:hAnsi="Arial Bold"/>
                <w:b/>
              </w:rPr>
              <w:t xml:space="preserve">Tipologia de </w:t>
            </w:r>
            <w:r w:rsidR="00D217A7">
              <w:rPr>
                <w:rFonts w:ascii="Arial Bold" w:hAnsi="Arial Bold"/>
                <w:b/>
              </w:rPr>
              <w:t>Itens</w:t>
            </w:r>
          </w:p>
        </w:tc>
        <w:tc>
          <w:tcPr>
            <w:tcW w:w="2043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Default="00E57FCB" w:rsidP="00240A9D">
            <w:pPr>
              <w:jc w:val="center"/>
              <w:rPr>
                <w:rFonts w:ascii="Arial Bold" w:hAnsi="Arial Bold"/>
                <w:b/>
              </w:rPr>
            </w:pPr>
            <w:r w:rsidRPr="00536FBD">
              <w:rPr>
                <w:rFonts w:ascii="Arial Bold" w:hAnsi="Arial Bold"/>
                <w:b/>
              </w:rPr>
              <w:t xml:space="preserve">Cotação </w:t>
            </w:r>
          </w:p>
          <w:p w:rsidR="009670B1" w:rsidRPr="00536FBD" w:rsidRDefault="009670B1" w:rsidP="00240A9D">
            <w:pPr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(em pontos)</w:t>
            </w:r>
          </w:p>
        </w:tc>
        <w:tc>
          <w:tcPr>
            <w:tcW w:w="1628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536FBD" w:rsidRDefault="00E57FCB" w:rsidP="00240A9D">
            <w:pPr>
              <w:jc w:val="center"/>
              <w:rPr>
                <w:rFonts w:ascii="Arial Bold" w:hAnsi="Arial Bold"/>
                <w:b/>
              </w:rPr>
            </w:pPr>
          </w:p>
        </w:tc>
      </w:tr>
      <w:tr w:rsidR="00E57FCB" w:rsidTr="00240A9D">
        <w:trPr>
          <w:cantSplit/>
          <w:trHeight w:hRule="exact" w:val="794"/>
          <w:jc w:val="center"/>
        </w:trPr>
        <w:tc>
          <w:tcPr>
            <w:tcW w:w="14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0A1CC6" w:rsidRDefault="00E57FCB" w:rsidP="00240A9D">
            <w:pPr>
              <w:pStyle w:val="Ttulo51"/>
              <w:jc w:val="center"/>
              <w:rPr>
                <w:b w:val="0"/>
                <w:bCs/>
                <w:sz w:val="24"/>
              </w:rPr>
            </w:pPr>
            <w:r w:rsidRPr="00962040"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  <w:t>Grupo I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962040" w:rsidRDefault="009670B1" w:rsidP="00240A9D">
            <w:pPr>
              <w:jc w:val="center"/>
              <w:rPr>
                <w:rFonts w:ascii="Arial" w:hAnsi="Arial"/>
              </w:rPr>
            </w:pPr>
            <w:r w:rsidRPr="00962040">
              <w:rPr>
                <w:rFonts w:ascii="Arial" w:hAnsi="Arial"/>
              </w:rPr>
              <w:t>6</w:t>
            </w:r>
            <w:r w:rsidR="00D217A7" w:rsidRPr="00962040">
              <w:rPr>
                <w:rFonts w:ascii="Arial" w:hAnsi="Arial"/>
              </w:rPr>
              <w:t xml:space="preserve"> itens</w:t>
            </w:r>
          </w:p>
          <w:p w:rsidR="00E57FCB" w:rsidRPr="00962040" w:rsidRDefault="00E57FCB" w:rsidP="00240A9D">
            <w:pPr>
              <w:jc w:val="center"/>
              <w:rPr>
                <w:rFonts w:ascii="Arial" w:hAnsi="Arial"/>
              </w:rPr>
            </w:pPr>
            <w:r w:rsidRPr="00962040">
              <w:rPr>
                <w:rFonts w:ascii="Arial" w:hAnsi="Arial"/>
              </w:rPr>
              <w:t xml:space="preserve">de </w:t>
            </w:r>
            <w:r w:rsidR="00D217A7" w:rsidRPr="00962040">
              <w:rPr>
                <w:rFonts w:ascii="Arial" w:hAnsi="Arial"/>
              </w:rPr>
              <w:t>resposta restrita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962040" w:rsidRDefault="000A1CC6" w:rsidP="00240A9D">
            <w:pPr>
              <w:jc w:val="center"/>
              <w:rPr>
                <w:rFonts w:ascii="Arial" w:hAnsi="Arial"/>
              </w:rPr>
            </w:pPr>
            <w:r w:rsidRPr="00962040">
              <w:rPr>
                <w:rFonts w:ascii="Arial" w:hAnsi="Arial"/>
              </w:rPr>
              <w:t>25</w:t>
            </w:r>
          </w:p>
        </w:tc>
        <w:tc>
          <w:tcPr>
            <w:tcW w:w="1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962040" w:rsidRDefault="009670B1" w:rsidP="00240A9D">
            <w:pPr>
              <w:jc w:val="center"/>
              <w:rPr>
                <w:rFonts w:ascii="Arial" w:hAnsi="Arial"/>
              </w:rPr>
            </w:pPr>
            <w:r w:rsidRPr="00962040">
              <w:rPr>
                <w:rFonts w:ascii="Arial" w:hAnsi="Arial"/>
              </w:rPr>
              <w:t>150</w:t>
            </w:r>
          </w:p>
          <w:p w:rsidR="00E57FCB" w:rsidRDefault="00E57FCB" w:rsidP="00240A9D">
            <w:pPr>
              <w:jc w:val="center"/>
              <w:rPr>
                <w:rFonts w:ascii="Arial" w:hAnsi="Arial"/>
                <w:sz w:val="18"/>
              </w:rPr>
            </w:pPr>
            <w:r w:rsidRPr="00962040">
              <w:rPr>
                <w:rFonts w:ascii="Arial" w:hAnsi="Arial"/>
              </w:rPr>
              <w:t>pontos</w:t>
            </w:r>
          </w:p>
        </w:tc>
      </w:tr>
      <w:tr w:rsidR="00E57FCB" w:rsidTr="00240A9D">
        <w:trPr>
          <w:cantSplit/>
          <w:trHeight w:hRule="exact" w:val="794"/>
          <w:jc w:val="center"/>
        </w:trPr>
        <w:tc>
          <w:tcPr>
            <w:tcW w:w="14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962040" w:rsidRDefault="00E57FCB" w:rsidP="00240A9D">
            <w:pPr>
              <w:pStyle w:val="Ttulo51"/>
              <w:jc w:val="center"/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</w:pPr>
            <w:r w:rsidRPr="00962040"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  <w:t>Grupo II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962040" w:rsidRDefault="009670B1" w:rsidP="00240A9D">
            <w:pPr>
              <w:jc w:val="center"/>
              <w:rPr>
                <w:rFonts w:ascii="Arial" w:hAnsi="Arial"/>
              </w:rPr>
            </w:pPr>
            <w:r w:rsidRPr="00962040">
              <w:rPr>
                <w:rFonts w:ascii="Arial" w:hAnsi="Arial"/>
              </w:rPr>
              <w:t>1</w:t>
            </w:r>
            <w:r w:rsidR="00D217A7" w:rsidRPr="00962040">
              <w:rPr>
                <w:rFonts w:ascii="Arial" w:hAnsi="Arial"/>
              </w:rPr>
              <w:t xml:space="preserve"> ite</w:t>
            </w:r>
            <w:r w:rsidRPr="00962040">
              <w:rPr>
                <w:rFonts w:ascii="Arial" w:hAnsi="Arial"/>
              </w:rPr>
              <w:t>m</w:t>
            </w:r>
          </w:p>
          <w:p w:rsidR="00E57FCB" w:rsidRDefault="00E57FCB" w:rsidP="00240A9D">
            <w:pPr>
              <w:jc w:val="center"/>
              <w:rPr>
                <w:rFonts w:ascii="Arial" w:hAnsi="Arial"/>
                <w:sz w:val="18"/>
              </w:rPr>
            </w:pPr>
            <w:r w:rsidRPr="00962040">
              <w:rPr>
                <w:rFonts w:ascii="Arial" w:hAnsi="Arial"/>
              </w:rPr>
              <w:t xml:space="preserve">de resposta </w:t>
            </w:r>
            <w:r w:rsidR="00DB39EC">
              <w:rPr>
                <w:rFonts w:ascii="Arial" w:hAnsi="Arial"/>
              </w:rPr>
              <w:t>extensa</w:t>
            </w:r>
          </w:p>
        </w:tc>
        <w:tc>
          <w:tcPr>
            <w:tcW w:w="20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Default="00E57FCB" w:rsidP="00240A9D">
            <w:pPr>
              <w:jc w:val="center"/>
              <w:rPr>
                <w:rFonts w:ascii="Arial" w:hAnsi="Arial"/>
                <w:sz w:val="18"/>
              </w:rPr>
            </w:pPr>
          </w:p>
          <w:p w:rsidR="00E57FCB" w:rsidRPr="00962040" w:rsidRDefault="009670B1" w:rsidP="00962040">
            <w:pPr>
              <w:jc w:val="center"/>
            </w:pPr>
            <w:r w:rsidRPr="00962040">
              <w:rPr>
                <w:rFonts w:ascii="Arial" w:hAnsi="Arial"/>
              </w:rPr>
              <w:t>5</w:t>
            </w:r>
            <w:r w:rsidR="00E57FCB" w:rsidRPr="00962040">
              <w:rPr>
                <w:rFonts w:ascii="Arial" w:hAnsi="Arial"/>
              </w:rPr>
              <w:t xml:space="preserve">0 </w:t>
            </w:r>
          </w:p>
        </w:tc>
        <w:tc>
          <w:tcPr>
            <w:tcW w:w="16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962040" w:rsidRDefault="009670B1" w:rsidP="00240A9D">
            <w:pPr>
              <w:jc w:val="center"/>
              <w:rPr>
                <w:rFonts w:ascii="Arial" w:hAnsi="Arial"/>
              </w:rPr>
            </w:pPr>
            <w:r w:rsidRPr="00962040">
              <w:rPr>
                <w:rFonts w:ascii="Arial" w:hAnsi="Arial"/>
              </w:rPr>
              <w:t>50</w:t>
            </w:r>
          </w:p>
          <w:p w:rsidR="00E57FCB" w:rsidRDefault="00E57FCB" w:rsidP="00240A9D">
            <w:pPr>
              <w:jc w:val="center"/>
              <w:rPr>
                <w:rFonts w:ascii="Arial" w:hAnsi="Arial"/>
                <w:sz w:val="18"/>
              </w:rPr>
            </w:pPr>
            <w:r w:rsidRPr="00962040">
              <w:rPr>
                <w:rFonts w:ascii="Arial" w:hAnsi="Arial"/>
              </w:rPr>
              <w:t>pontos</w:t>
            </w:r>
          </w:p>
        </w:tc>
      </w:tr>
      <w:tr w:rsidR="00E57FCB" w:rsidRPr="00030C41" w:rsidTr="00240A9D">
        <w:trPr>
          <w:cantSplit/>
          <w:trHeight w:val="375"/>
          <w:jc w:val="center"/>
        </w:trPr>
        <w:tc>
          <w:tcPr>
            <w:tcW w:w="779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FCB" w:rsidRPr="00721E66" w:rsidRDefault="00E57FCB" w:rsidP="00721E66">
            <w:pPr>
              <w:pStyle w:val="Ttulo51"/>
              <w:jc w:val="center"/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</w:pPr>
            <w:r w:rsidRPr="00721E66"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  <w:t xml:space="preserve">Total                                                                                 </w:t>
            </w:r>
            <w:r w:rsidR="00721E66"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  <w:t xml:space="preserve">    </w:t>
            </w:r>
            <w:r w:rsidRPr="00721E66">
              <w:rPr>
                <w:rFonts w:ascii="Arial" w:eastAsia="Times New Roman" w:hAnsi="Arial"/>
                <w:b w:val="0"/>
                <w:color w:val="auto"/>
                <w:sz w:val="24"/>
                <w:szCs w:val="24"/>
                <w:lang w:val="pt-PT"/>
              </w:rPr>
              <w:t>200 pontos</w:t>
            </w:r>
          </w:p>
        </w:tc>
      </w:tr>
    </w:tbl>
    <w:p w:rsidR="00962040" w:rsidRDefault="00962040" w:rsidP="000A69D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5B64" w:rsidRDefault="00675B64" w:rsidP="000A69D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7FCB" w:rsidRPr="00030C41" w:rsidRDefault="00E57FCB" w:rsidP="00E57FCB">
      <w:pPr>
        <w:jc w:val="both"/>
        <w:rPr>
          <w:rFonts w:ascii="Arial Bold" w:hAnsi="Arial Bold"/>
          <w:b/>
          <w:u w:val="single"/>
        </w:rPr>
      </w:pPr>
    </w:p>
    <w:p w:rsidR="00E57FCB" w:rsidRPr="00721E66" w:rsidRDefault="00E57FCB" w:rsidP="00E57FCB">
      <w:pPr>
        <w:jc w:val="both"/>
        <w:rPr>
          <w:rFonts w:ascii="Arial Bold" w:hAnsi="Arial Bold"/>
          <w:b/>
          <w:sz w:val="24"/>
          <w:szCs w:val="24"/>
        </w:rPr>
      </w:pPr>
      <w:r w:rsidRPr="00721E66">
        <w:rPr>
          <w:rFonts w:ascii="Arial Bold" w:hAnsi="Arial Bold"/>
          <w:b/>
          <w:sz w:val="24"/>
          <w:szCs w:val="24"/>
        </w:rPr>
        <w:t>3. Critérios gerais de classificação</w:t>
      </w:r>
    </w:p>
    <w:p w:rsidR="00E57FCB" w:rsidRDefault="00E57FCB" w:rsidP="00E57FCB">
      <w:pPr>
        <w:jc w:val="both"/>
        <w:rPr>
          <w:rFonts w:ascii="Arial" w:hAnsi="Arial"/>
        </w:rPr>
      </w:pPr>
    </w:p>
    <w:p w:rsidR="00E57FCB" w:rsidRDefault="00BF1553" w:rsidP="00E57FCB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F013C8" w:rsidRPr="00F013C8">
        <w:rPr>
          <w:rFonts w:ascii="Arial" w:hAnsi="Arial"/>
          <w:b/>
          <w:bCs/>
          <w:sz w:val="24"/>
          <w:szCs w:val="24"/>
        </w:rPr>
        <w:t xml:space="preserve">Itens de </w:t>
      </w:r>
      <w:r w:rsidR="00113291">
        <w:rPr>
          <w:rFonts w:ascii="Arial" w:hAnsi="Arial"/>
          <w:b/>
          <w:bCs/>
          <w:sz w:val="24"/>
          <w:szCs w:val="24"/>
        </w:rPr>
        <w:t>r</w:t>
      </w:r>
      <w:r w:rsidRPr="00F013C8">
        <w:rPr>
          <w:rFonts w:ascii="Arial" w:hAnsi="Arial"/>
          <w:b/>
          <w:bCs/>
          <w:sz w:val="24"/>
          <w:szCs w:val="24"/>
        </w:rPr>
        <w:t xml:space="preserve">esposta </w:t>
      </w:r>
      <w:r w:rsidR="00113291">
        <w:rPr>
          <w:rFonts w:ascii="Arial" w:hAnsi="Arial"/>
          <w:b/>
          <w:bCs/>
          <w:sz w:val="24"/>
          <w:szCs w:val="24"/>
        </w:rPr>
        <w:t>r</w:t>
      </w:r>
      <w:r w:rsidRPr="00F013C8">
        <w:rPr>
          <w:rFonts w:ascii="Arial" w:hAnsi="Arial"/>
          <w:b/>
          <w:bCs/>
          <w:sz w:val="24"/>
          <w:szCs w:val="24"/>
        </w:rPr>
        <w:t>estrita</w:t>
      </w:r>
      <w:r w:rsidR="00F013C8" w:rsidRPr="00F013C8">
        <w:rPr>
          <w:rFonts w:ascii="Arial" w:hAnsi="Arial"/>
          <w:b/>
          <w:bCs/>
          <w:sz w:val="24"/>
          <w:szCs w:val="24"/>
        </w:rPr>
        <w:t xml:space="preserve"> e </w:t>
      </w:r>
      <w:r w:rsidR="00113291">
        <w:rPr>
          <w:rFonts w:ascii="Arial" w:hAnsi="Arial"/>
          <w:b/>
          <w:bCs/>
          <w:sz w:val="24"/>
          <w:szCs w:val="24"/>
        </w:rPr>
        <w:t xml:space="preserve">item </w:t>
      </w:r>
      <w:r w:rsidR="00F013C8" w:rsidRPr="00F013C8">
        <w:rPr>
          <w:rFonts w:ascii="Arial" w:hAnsi="Arial"/>
          <w:b/>
          <w:bCs/>
          <w:sz w:val="24"/>
          <w:szCs w:val="24"/>
        </w:rPr>
        <w:t xml:space="preserve">de </w:t>
      </w:r>
      <w:r w:rsidR="00113291">
        <w:rPr>
          <w:rFonts w:ascii="Arial" w:hAnsi="Arial"/>
          <w:b/>
          <w:bCs/>
          <w:sz w:val="24"/>
          <w:szCs w:val="24"/>
        </w:rPr>
        <w:t>r</w:t>
      </w:r>
      <w:r w:rsidR="00F013C8" w:rsidRPr="00F013C8">
        <w:rPr>
          <w:rFonts w:ascii="Arial" w:hAnsi="Arial"/>
          <w:b/>
          <w:bCs/>
          <w:sz w:val="24"/>
          <w:szCs w:val="24"/>
        </w:rPr>
        <w:t xml:space="preserve">esposta </w:t>
      </w:r>
      <w:r w:rsidR="00113291">
        <w:rPr>
          <w:rFonts w:ascii="Arial" w:hAnsi="Arial"/>
          <w:b/>
          <w:bCs/>
          <w:sz w:val="24"/>
          <w:szCs w:val="24"/>
        </w:rPr>
        <w:t>e</w:t>
      </w:r>
      <w:r w:rsidR="00F013C8" w:rsidRPr="00F013C8">
        <w:rPr>
          <w:rFonts w:ascii="Arial" w:hAnsi="Arial"/>
          <w:b/>
          <w:bCs/>
          <w:sz w:val="24"/>
          <w:szCs w:val="24"/>
        </w:rPr>
        <w:t>xtensa</w:t>
      </w:r>
    </w:p>
    <w:p w:rsidR="00837F81" w:rsidRPr="00F013C8" w:rsidRDefault="00837F81" w:rsidP="00E57FCB">
      <w:pPr>
        <w:jc w:val="both"/>
        <w:rPr>
          <w:rFonts w:ascii="Arial" w:hAnsi="Arial"/>
          <w:b/>
          <w:bCs/>
          <w:sz w:val="24"/>
          <w:szCs w:val="24"/>
        </w:rPr>
      </w:pPr>
    </w:p>
    <w:p w:rsidR="00BF1553" w:rsidRDefault="00BF1553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cotação dos itens de resposta restrita </w:t>
      </w:r>
      <w:r w:rsidR="00F013C8">
        <w:rPr>
          <w:rFonts w:ascii="Arial" w:hAnsi="Arial"/>
          <w:sz w:val="24"/>
          <w:szCs w:val="24"/>
        </w:rPr>
        <w:t xml:space="preserve">e do item de resposta extensa </w:t>
      </w:r>
      <w:r>
        <w:rPr>
          <w:rFonts w:ascii="Arial" w:hAnsi="Arial"/>
          <w:sz w:val="24"/>
          <w:szCs w:val="24"/>
        </w:rPr>
        <w:t>é distribuída pelos parâmetros seguintes: conteúdo (C) e estruturação do discurso e correção linguística (F).</w:t>
      </w:r>
    </w:p>
    <w:p w:rsidR="00BF1553" w:rsidRDefault="00BF1553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classificação com zero pontos no conteúdo implica a classificação com </w:t>
      </w:r>
      <w:r w:rsidR="00F013C8">
        <w:rPr>
          <w:rFonts w:ascii="Arial" w:hAnsi="Arial"/>
          <w:sz w:val="24"/>
          <w:szCs w:val="24"/>
        </w:rPr>
        <w:t>zero pontos na estruturação do discurso e correção linguística</w:t>
      </w:r>
      <w:r w:rsidR="00F655C3">
        <w:rPr>
          <w:rFonts w:ascii="Arial" w:hAnsi="Arial"/>
          <w:sz w:val="24"/>
          <w:szCs w:val="24"/>
        </w:rPr>
        <w:t>.</w:t>
      </w:r>
    </w:p>
    <w:p w:rsidR="00F655C3" w:rsidRDefault="00F655C3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 âmbito da correção linguística, estão previstos descontos por aplicação dos fatores de desvalorização </w:t>
      </w:r>
      <w:r w:rsidR="003F1461">
        <w:rPr>
          <w:rFonts w:ascii="Arial" w:hAnsi="Arial"/>
          <w:sz w:val="24"/>
          <w:szCs w:val="24"/>
        </w:rPr>
        <w:t>apresentados no quadro seguinte, sendo esses descontos efetuados até ao limite das pontuações indicadas nos critérios específicos</w:t>
      </w:r>
      <w:r w:rsidR="007F4EC5">
        <w:rPr>
          <w:rFonts w:ascii="Arial" w:hAnsi="Arial"/>
          <w:sz w:val="24"/>
          <w:szCs w:val="24"/>
        </w:rPr>
        <w:t xml:space="preserve"> de cl</w:t>
      </w:r>
      <w:r w:rsidR="000A69DB">
        <w:rPr>
          <w:rFonts w:ascii="Arial" w:hAnsi="Arial"/>
          <w:sz w:val="24"/>
          <w:szCs w:val="24"/>
        </w:rPr>
        <w:t>a</w:t>
      </w:r>
      <w:r w:rsidR="007F4EC5">
        <w:rPr>
          <w:rFonts w:ascii="Arial" w:hAnsi="Arial"/>
          <w:sz w:val="24"/>
          <w:szCs w:val="24"/>
        </w:rPr>
        <w:t>ssificação</w:t>
      </w:r>
      <w:r w:rsidR="003F1461">
        <w:rPr>
          <w:rFonts w:ascii="Arial" w:hAnsi="Arial"/>
          <w:sz w:val="24"/>
          <w:szCs w:val="24"/>
        </w:rPr>
        <w:t>.</w:t>
      </w:r>
    </w:p>
    <w:p w:rsidR="003F1461" w:rsidRDefault="003F146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3F1461" w:rsidRPr="008074F1" w:rsidRDefault="008074F1" w:rsidP="00F655C3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8074F1">
        <w:rPr>
          <w:rFonts w:ascii="Arial" w:hAnsi="Arial"/>
          <w:b/>
          <w:bCs/>
          <w:sz w:val="24"/>
          <w:szCs w:val="24"/>
        </w:rPr>
        <w:t xml:space="preserve">Fatores de desvalorização </w:t>
      </w:r>
    </w:p>
    <w:p w:rsidR="008074F1" w:rsidRPr="008074F1" w:rsidRDefault="008074F1" w:rsidP="00F655C3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- </w:t>
      </w:r>
      <w:r w:rsidRPr="008074F1">
        <w:rPr>
          <w:rFonts w:ascii="Arial" w:hAnsi="Arial"/>
          <w:b/>
          <w:bCs/>
          <w:sz w:val="22"/>
          <w:szCs w:val="22"/>
        </w:rPr>
        <w:t>Correção linguística</w:t>
      </w:r>
    </w:p>
    <w:p w:rsidR="008074F1" w:rsidRDefault="008074F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232"/>
        <w:gridCol w:w="2256"/>
      </w:tblGrid>
      <w:tr w:rsidR="003F1461" w:rsidTr="003F1461">
        <w:trPr>
          <w:trHeight w:val="582"/>
        </w:trPr>
        <w:tc>
          <w:tcPr>
            <w:tcW w:w="6232" w:type="dxa"/>
          </w:tcPr>
          <w:p w:rsidR="003F1461" w:rsidRDefault="003F1461" w:rsidP="00837F81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Desvalorizações no âmbito da correção linguística</w:t>
            </w:r>
          </w:p>
        </w:tc>
        <w:tc>
          <w:tcPr>
            <w:tcW w:w="2256" w:type="dxa"/>
          </w:tcPr>
          <w:p w:rsidR="003F1461" w:rsidRDefault="003F1461" w:rsidP="003F1461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Desvalorização</w:t>
            </w:r>
          </w:p>
          <w:p w:rsidR="003F1461" w:rsidRDefault="003F1461" w:rsidP="003F1461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(pontos)</w:t>
            </w:r>
          </w:p>
        </w:tc>
      </w:tr>
      <w:tr w:rsidR="003F1461" w:rsidTr="003F1461">
        <w:trPr>
          <w:trHeight w:val="838"/>
        </w:trPr>
        <w:tc>
          <w:tcPr>
            <w:tcW w:w="6232" w:type="dxa"/>
          </w:tcPr>
          <w:p w:rsidR="003F1461" w:rsidRPr="00837F81" w:rsidRDefault="003F1461" w:rsidP="003F146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erro de pontuação</w:t>
            </w:r>
          </w:p>
          <w:p w:rsidR="003F1461" w:rsidRPr="00837F81" w:rsidRDefault="003F1461" w:rsidP="003F146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erro de ortografia</w:t>
            </w:r>
          </w:p>
          <w:p w:rsidR="003F1461" w:rsidRPr="00837F81" w:rsidRDefault="003F1461" w:rsidP="003F146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erro de morfologia</w:t>
            </w:r>
          </w:p>
          <w:p w:rsidR="003F1461" w:rsidRPr="00837F81" w:rsidRDefault="003F1461" w:rsidP="003F146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incumprimento das regras de citação de texto ou de referência a uma obra</w:t>
            </w:r>
          </w:p>
        </w:tc>
        <w:tc>
          <w:tcPr>
            <w:tcW w:w="2256" w:type="dxa"/>
          </w:tcPr>
          <w:p w:rsidR="003F1461" w:rsidRPr="00837F81" w:rsidRDefault="003F1461" w:rsidP="003F14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F1461" w:rsidRPr="00837F81" w:rsidRDefault="003F1461" w:rsidP="003F14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F1461" w:rsidRPr="00837F81" w:rsidRDefault="003F1461" w:rsidP="003F14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1 ponto</w:t>
            </w:r>
          </w:p>
          <w:p w:rsidR="003F1461" w:rsidRPr="00837F81" w:rsidRDefault="003F1461" w:rsidP="003F14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F1461" w:rsidTr="003F1461">
        <w:trPr>
          <w:trHeight w:val="838"/>
        </w:trPr>
        <w:tc>
          <w:tcPr>
            <w:tcW w:w="6232" w:type="dxa"/>
          </w:tcPr>
          <w:p w:rsidR="003F1461" w:rsidRPr="00837F81" w:rsidRDefault="003F1461" w:rsidP="003F146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erro de sintaxe</w:t>
            </w:r>
          </w:p>
          <w:p w:rsidR="003F1461" w:rsidRPr="00837F81" w:rsidRDefault="003F1461" w:rsidP="003F146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impropriedade lexical</w:t>
            </w:r>
          </w:p>
        </w:tc>
        <w:tc>
          <w:tcPr>
            <w:tcW w:w="2256" w:type="dxa"/>
          </w:tcPr>
          <w:p w:rsidR="003F1461" w:rsidRPr="00837F81" w:rsidRDefault="003F1461" w:rsidP="003F14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F1461" w:rsidRPr="00837F81" w:rsidRDefault="003F1461" w:rsidP="003F146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37F81">
              <w:rPr>
                <w:rFonts w:ascii="Arial" w:hAnsi="Arial"/>
                <w:sz w:val="22"/>
                <w:szCs w:val="22"/>
              </w:rPr>
              <w:t>2 pontos</w:t>
            </w:r>
          </w:p>
        </w:tc>
      </w:tr>
    </w:tbl>
    <w:p w:rsidR="003F1461" w:rsidRPr="00BF1553" w:rsidRDefault="003F146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57FCB" w:rsidRDefault="003F146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 repetição de um erro de ortografia na mesma resposta é contabilizada como uma única ocorrência.</w:t>
      </w:r>
    </w:p>
    <w:p w:rsidR="003F1461" w:rsidRDefault="003F146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da aplicação deste fator de desvalorização resultar uma classificação inferior a zero pontos, atribui-se zero pontos à correção linguística.</w:t>
      </w:r>
    </w:p>
    <w:p w:rsidR="005D4E2E" w:rsidRDefault="005D4E2E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75B64" w:rsidRPr="00F655C3" w:rsidRDefault="00675B64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721E66" w:rsidRDefault="008074F1" w:rsidP="00F655C3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- </w:t>
      </w:r>
      <w:r w:rsidRPr="008074F1">
        <w:rPr>
          <w:rFonts w:ascii="Arial" w:hAnsi="Arial"/>
          <w:b/>
          <w:bCs/>
          <w:sz w:val="22"/>
          <w:szCs w:val="22"/>
        </w:rPr>
        <w:t>Limites de extensão</w:t>
      </w:r>
    </w:p>
    <w:p w:rsidR="008074F1" w:rsidRDefault="008074F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8074F1">
        <w:rPr>
          <w:rFonts w:ascii="Arial" w:hAnsi="Arial"/>
          <w:sz w:val="24"/>
          <w:szCs w:val="24"/>
        </w:rPr>
        <w:t>Sempre</w:t>
      </w:r>
      <w:r>
        <w:rPr>
          <w:rFonts w:ascii="Arial" w:hAnsi="Arial"/>
          <w:sz w:val="24"/>
          <w:szCs w:val="24"/>
        </w:rPr>
        <w:t xml:space="preserve"> que não sejam respeitados os limites relativos ao número de palavras indicados na instrução do item de resposta extensa, </w:t>
      </w:r>
      <w:r w:rsidR="00837F81">
        <w:rPr>
          <w:rFonts w:ascii="Arial" w:hAnsi="Arial"/>
          <w:sz w:val="24"/>
          <w:szCs w:val="24"/>
        </w:rPr>
        <w:t xml:space="preserve">desconta-se cinco pontos, depois de aplicados todos os critérios definidos para o item. </w:t>
      </w:r>
    </w:p>
    <w:p w:rsidR="00837F81" w:rsidRPr="008074F1" w:rsidRDefault="00837F81" w:rsidP="00F655C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Nos casos em que da aplicação deste fator de desvalorização resultar uma classificação inferior a zero pontos, é atribuída à resposta a classificação de zero pontos.</w:t>
      </w:r>
    </w:p>
    <w:p w:rsidR="00E57FCB" w:rsidRDefault="00E57FCB" w:rsidP="00E57FCB">
      <w:pPr>
        <w:jc w:val="both"/>
        <w:rPr>
          <w:rFonts w:ascii="Arial" w:hAnsi="Arial"/>
          <w:b/>
          <w:bCs/>
          <w:sz w:val="22"/>
          <w:szCs w:val="22"/>
        </w:rPr>
      </w:pPr>
    </w:p>
    <w:p w:rsidR="00837F81" w:rsidRPr="008074F1" w:rsidRDefault="00837F81" w:rsidP="00E57FCB">
      <w:pPr>
        <w:jc w:val="both"/>
        <w:rPr>
          <w:rFonts w:ascii="Arial" w:hAnsi="Arial"/>
          <w:b/>
          <w:bCs/>
          <w:sz w:val="22"/>
          <w:szCs w:val="22"/>
        </w:rPr>
      </w:pPr>
    </w:p>
    <w:p w:rsidR="00E57FCB" w:rsidRPr="00721E66" w:rsidRDefault="00E57FCB" w:rsidP="00E57FCB">
      <w:pPr>
        <w:jc w:val="both"/>
        <w:rPr>
          <w:rFonts w:ascii="Arial Bold" w:hAnsi="Arial Bold"/>
          <w:b/>
          <w:sz w:val="24"/>
          <w:szCs w:val="24"/>
        </w:rPr>
      </w:pPr>
      <w:r w:rsidRPr="00721E66">
        <w:rPr>
          <w:rFonts w:ascii="Arial Bold" w:hAnsi="Arial Bold"/>
          <w:b/>
          <w:sz w:val="24"/>
          <w:szCs w:val="24"/>
        </w:rPr>
        <w:t xml:space="preserve">4. Material </w:t>
      </w:r>
    </w:p>
    <w:p w:rsidR="00E57FCB" w:rsidRDefault="00E57FCB" w:rsidP="00E57FCB">
      <w:pPr>
        <w:jc w:val="both"/>
        <w:rPr>
          <w:rFonts w:ascii="Arial" w:hAnsi="Arial"/>
        </w:rPr>
      </w:pPr>
    </w:p>
    <w:p w:rsidR="00E57FCB" w:rsidRDefault="00721E66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Como material de escrita, </w:t>
      </w:r>
      <w:r w:rsidR="00E57FCB" w:rsidRPr="00721E66">
        <w:rPr>
          <w:rFonts w:ascii="Arial" w:hAnsi="Arial"/>
          <w:sz w:val="24"/>
          <w:szCs w:val="24"/>
        </w:rPr>
        <w:t xml:space="preserve">apenas pode </w:t>
      </w:r>
      <w:r>
        <w:rPr>
          <w:rFonts w:ascii="Arial" w:hAnsi="Arial"/>
          <w:sz w:val="24"/>
          <w:szCs w:val="24"/>
        </w:rPr>
        <w:t xml:space="preserve">ser </w:t>
      </w:r>
      <w:r w:rsidR="00E57FCB" w:rsidRPr="00721E66">
        <w:rPr>
          <w:rFonts w:ascii="Arial" w:hAnsi="Arial"/>
          <w:sz w:val="24"/>
          <w:szCs w:val="24"/>
        </w:rPr>
        <w:t>usa</w:t>
      </w:r>
      <w:r>
        <w:rPr>
          <w:rFonts w:ascii="Arial" w:hAnsi="Arial"/>
          <w:sz w:val="24"/>
          <w:szCs w:val="24"/>
        </w:rPr>
        <w:t>da</w:t>
      </w:r>
      <w:r w:rsidR="00E57FCB" w:rsidRPr="00721E66">
        <w:rPr>
          <w:rFonts w:ascii="Arial" w:hAnsi="Arial"/>
          <w:sz w:val="24"/>
          <w:szCs w:val="24"/>
        </w:rPr>
        <w:t xml:space="preserve"> caneta ou esferográfica de tinta azul ou preta.</w:t>
      </w:r>
    </w:p>
    <w:p w:rsidR="00721E66" w:rsidRPr="00721E66" w:rsidRDefault="00721E66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 respostas são registadas em folha própria, fornecida pelo estabelecimento de ensino</w:t>
      </w:r>
      <w:r w:rsidR="005D4E2E">
        <w:rPr>
          <w:rFonts w:ascii="Arial" w:hAnsi="Arial"/>
          <w:sz w:val="24"/>
          <w:szCs w:val="24"/>
        </w:rPr>
        <w:t xml:space="preserve"> (modelo oficial)</w:t>
      </w:r>
      <w:r>
        <w:rPr>
          <w:rFonts w:ascii="Arial" w:hAnsi="Arial"/>
          <w:sz w:val="24"/>
          <w:szCs w:val="24"/>
        </w:rPr>
        <w:t>.</w:t>
      </w:r>
    </w:p>
    <w:p w:rsidR="00E57FCB" w:rsidRDefault="00E57FCB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21E66">
        <w:rPr>
          <w:rFonts w:ascii="Arial" w:hAnsi="Arial"/>
          <w:sz w:val="24"/>
          <w:szCs w:val="24"/>
        </w:rPr>
        <w:t>Não é permitid</w:t>
      </w:r>
      <w:r w:rsidR="00721E66">
        <w:rPr>
          <w:rFonts w:ascii="Arial" w:hAnsi="Arial"/>
          <w:sz w:val="24"/>
          <w:szCs w:val="24"/>
        </w:rPr>
        <w:t>a a consulta de dicionário</w:t>
      </w:r>
      <w:r w:rsidRPr="00721E66">
        <w:rPr>
          <w:rFonts w:ascii="Arial" w:hAnsi="Arial"/>
          <w:sz w:val="24"/>
          <w:szCs w:val="24"/>
        </w:rPr>
        <w:t>.</w:t>
      </w:r>
    </w:p>
    <w:p w:rsidR="00721E66" w:rsidRPr="00721E66" w:rsidRDefault="00721E66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Não é permitido o uso de corretor.</w:t>
      </w:r>
    </w:p>
    <w:p w:rsidR="00E57FCB" w:rsidRDefault="00E57FCB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75B64" w:rsidRPr="00721E66" w:rsidRDefault="00675B64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57FCB" w:rsidRPr="00721E66" w:rsidRDefault="00E57FCB" w:rsidP="00E57FCB">
      <w:pPr>
        <w:jc w:val="both"/>
        <w:rPr>
          <w:rFonts w:ascii="Arial Bold" w:hAnsi="Arial Bold"/>
          <w:b/>
          <w:sz w:val="24"/>
          <w:szCs w:val="24"/>
        </w:rPr>
      </w:pPr>
      <w:r w:rsidRPr="00721E66">
        <w:rPr>
          <w:rFonts w:ascii="Arial Bold" w:hAnsi="Arial Bold"/>
          <w:b/>
          <w:sz w:val="24"/>
          <w:szCs w:val="24"/>
        </w:rPr>
        <w:t xml:space="preserve">5. Duração </w:t>
      </w:r>
      <w:bookmarkStart w:id="0" w:name="_GoBack"/>
      <w:bookmarkEnd w:id="0"/>
    </w:p>
    <w:p w:rsidR="00E57FCB" w:rsidRDefault="00E57FCB" w:rsidP="00E57FCB">
      <w:pPr>
        <w:jc w:val="both"/>
        <w:rPr>
          <w:rFonts w:ascii="Arial" w:hAnsi="Arial"/>
        </w:rPr>
      </w:pPr>
    </w:p>
    <w:p w:rsidR="00E57FCB" w:rsidRPr="00721E66" w:rsidRDefault="00E57FCB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21E66">
        <w:rPr>
          <w:rFonts w:ascii="Arial" w:hAnsi="Arial"/>
          <w:sz w:val="24"/>
          <w:szCs w:val="24"/>
        </w:rPr>
        <w:t>A prova tem a duração de 90 minutos.</w:t>
      </w:r>
    </w:p>
    <w:p w:rsidR="00E57FCB" w:rsidRPr="00721E66" w:rsidRDefault="00E57FCB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57FCB" w:rsidRPr="00721E66" w:rsidRDefault="00E57FCB" w:rsidP="00721E6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57FCB" w:rsidRDefault="00E57FCB" w:rsidP="00E57FCB">
      <w:pPr>
        <w:jc w:val="both"/>
        <w:rPr>
          <w:rFonts w:ascii="Arial" w:hAnsi="Arial"/>
        </w:rPr>
      </w:pPr>
    </w:p>
    <w:p w:rsidR="00E57FCB" w:rsidRPr="00721E66" w:rsidRDefault="00E57FCB" w:rsidP="00E57FCB">
      <w:pPr>
        <w:jc w:val="both"/>
        <w:rPr>
          <w:rFonts w:ascii="Arial" w:hAnsi="Arial"/>
          <w:b/>
          <w:bCs/>
          <w:sz w:val="24"/>
          <w:szCs w:val="24"/>
        </w:rPr>
      </w:pPr>
    </w:p>
    <w:p w:rsidR="00A60DA0" w:rsidRDefault="00A60DA0"/>
    <w:sectPr w:rsidR="00A60DA0" w:rsidSect="003B01FB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A0" w:rsidRDefault="004B69A0" w:rsidP="00C961A4">
      <w:r>
        <w:separator/>
      </w:r>
    </w:p>
  </w:endnote>
  <w:endnote w:type="continuationSeparator" w:id="0">
    <w:p w:rsidR="004B69A0" w:rsidRDefault="004B69A0" w:rsidP="00C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8070000" w:usb2="00000010" w:usb3="00000000" w:csb0="00020000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809253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961A4" w:rsidRDefault="00C961A4" w:rsidP="0019795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961A4" w:rsidRDefault="00C961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385725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961A4" w:rsidRDefault="00C961A4" w:rsidP="0019795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961A4" w:rsidRDefault="00C961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A0" w:rsidRDefault="004B69A0" w:rsidP="00C961A4">
      <w:r>
        <w:separator/>
      </w:r>
    </w:p>
  </w:footnote>
  <w:footnote w:type="continuationSeparator" w:id="0">
    <w:p w:rsidR="004B69A0" w:rsidRDefault="004B69A0" w:rsidP="00C9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40D4"/>
    <w:multiLevelType w:val="hybridMultilevel"/>
    <w:tmpl w:val="EDD83874"/>
    <w:lvl w:ilvl="0" w:tplc="08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05F06"/>
    <w:multiLevelType w:val="hybridMultilevel"/>
    <w:tmpl w:val="6270C7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66EB"/>
    <w:multiLevelType w:val="hybridMultilevel"/>
    <w:tmpl w:val="22741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BE0"/>
    <w:multiLevelType w:val="hybridMultilevel"/>
    <w:tmpl w:val="A0E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0"/>
    <w:rsid w:val="00047584"/>
    <w:rsid w:val="000A1CC6"/>
    <w:rsid w:val="000A69DB"/>
    <w:rsid w:val="000F7667"/>
    <w:rsid w:val="00113291"/>
    <w:rsid w:val="001210FE"/>
    <w:rsid w:val="001827A9"/>
    <w:rsid w:val="001A10B5"/>
    <w:rsid w:val="002E31FC"/>
    <w:rsid w:val="003B01FB"/>
    <w:rsid w:val="003D45A4"/>
    <w:rsid w:val="003F1461"/>
    <w:rsid w:val="004B69A0"/>
    <w:rsid w:val="005C5165"/>
    <w:rsid w:val="005D4E2E"/>
    <w:rsid w:val="0063559E"/>
    <w:rsid w:val="00642761"/>
    <w:rsid w:val="0067371B"/>
    <w:rsid w:val="00675B64"/>
    <w:rsid w:val="00681777"/>
    <w:rsid w:val="00721E66"/>
    <w:rsid w:val="00740526"/>
    <w:rsid w:val="00794660"/>
    <w:rsid w:val="007D4ECD"/>
    <w:rsid w:val="007F4EC5"/>
    <w:rsid w:val="008074F1"/>
    <w:rsid w:val="00827F20"/>
    <w:rsid w:val="00837F81"/>
    <w:rsid w:val="00851E3D"/>
    <w:rsid w:val="00962040"/>
    <w:rsid w:val="009670B1"/>
    <w:rsid w:val="00A60DA0"/>
    <w:rsid w:val="00A943F8"/>
    <w:rsid w:val="00BF1553"/>
    <w:rsid w:val="00C961A4"/>
    <w:rsid w:val="00CE0E90"/>
    <w:rsid w:val="00CE2797"/>
    <w:rsid w:val="00D217A7"/>
    <w:rsid w:val="00DB39EC"/>
    <w:rsid w:val="00DE7316"/>
    <w:rsid w:val="00E047F8"/>
    <w:rsid w:val="00E57FCB"/>
    <w:rsid w:val="00EC05D9"/>
    <w:rsid w:val="00F013C8"/>
    <w:rsid w:val="00F615F5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44C6"/>
  <w15:chartTrackingRefBased/>
  <w15:docId w15:val="{B990AA52-DCFA-1C49-A022-1734587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A60DA0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A60DA0"/>
    <w:rPr>
      <w:rFonts w:ascii="Arial" w:eastAsia="Times New Roman" w:hAnsi="Arial" w:cs="Times New Roman"/>
      <w:b/>
      <w:snapToGrid w:val="0"/>
      <w:color w:val="000000"/>
      <w:sz w:val="22"/>
      <w:szCs w:val="20"/>
      <w:lang w:eastAsia="pt-PT"/>
    </w:rPr>
  </w:style>
  <w:style w:type="paragraph" w:customStyle="1" w:styleId="Ttulo51">
    <w:name w:val="Título 51"/>
    <w:next w:val="Normal"/>
    <w:rsid w:val="00E57FCB"/>
    <w:pPr>
      <w:spacing w:before="240" w:after="60"/>
    </w:pPr>
    <w:rPr>
      <w:rFonts w:ascii="Lucida Grande" w:eastAsia="ヒラギノ角ゴ Pro W3" w:hAnsi="Lucida Grande" w:cs="Times New Roman"/>
      <w:b/>
      <w:color w:val="000000"/>
      <w:sz w:val="26"/>
      <w:szCs w:val="20"/>
      <w:lang w:val="en-GB" w:eastAsia="pt-PT"/>
    </w:rPr>
  </w:style>
  <w:style w:type="paragraph" w:customStyle="1" w:styleId="Ttulo61">
    <w:name w:val="Título 61"/>
    <w:next w:val="Normal"/>
    <w:rsid w:val="00E57FCB"/>
    <w:pPr>
      <w:spacing w:before="240" w:after="60"/>
    </w:pPr>
    <w:rPr>
      <w:rFonts w:ascii="Lucida Grande" w:eastAsia="ヒラギノ角ゴ Pro W3" w:hAnsi="Lucida Grande" w:cs="Times New Roman"/>
      <w:b/>
      <w:color w:val="000000"/>
      <w:sz w:val="22"/>
      <w:szCs w:val="20"/>
      <w:lang w:val="en-GB" w:eastAsia="pt-PT"/>
    </w:rPr>
  </w:style>
  <w:style w:type="paragraph" w:styleId="PargrafodaLista">
    <w:name w:val="List Paragraph"/>
    <w:basedOn w:val="Normal"/>
    <w:uiPriority w:val="34"/>
    <w:qFormat/>
    <w:rsid w:val="003D45A4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C961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61A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C961A4"/>
  </w:style>
  <w:style w:type="table" w:styleId="TabelacomGrelha">
    <w:name w:val="Table Grid"/>
    <w:basedOn w:val="Tabelanormal"/>
    <w:uiPriority w:val="39"/>
    <w:rsid w:val="003F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76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Cabral Martins</dc:creator>
  <cp:keywords/>
  <dc:description/>
  <cp:lastModifiedBy>Fernando Cabral Martins</cp:lastModifiedBy>
  <cp:revision>23</cp:revision>
  <dcterms:created xsi:type="dcterms:W3CDTF">2019-07-16T18:26:00Z</dcterms:created>
  <dcterms:modified xsi:type="dcterms:W3CDTF">2019-07-17T09:59:00Z</dcterms:modified>
</cp:coreProperties>
</file>